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B32B83" w:rsidRDefault="00B32B83" w:rsidP="00B32B83">
      <w:pPr>
        <w:spacing w:after="58" w:line="240" w:lineRule="auto"/>
        <w:ind w:firstLine="288"/>
        <w:jc w:val="both"/>
        <w:rPr>
          <w:rFonts w:ascii="Arial" w:eastAsia="Times New Roman" w:hAnsi="Arial" w:cs="Arial"/>
          <w:b/>
          <w:sz w:val="18"/>
          <w:szCs w:val="20"/>
          <w:lang w:val="es-ES" w:eastAsia="es-ES"/>
        </w:rPr>
      </w:pPr>
    </w:p>
    <w:p w:rsidR="00B32B83" w:rsidRDefault="00B32B83" w:rsidP="00B32B83">
      <w:pPr>
        <w:spacing w:after="58" w:line="240" w:lineRule="auto"/>
        <w:ind w:firstLine="288"/>
        <w:jc w:val="both"/>
        <w:rPr>
          <w:rFonts w:ascii="Arial" w:eastAsia="Times New Roman" w:hAnsi="Arial" w:cs="Arial"/>
          <w:b/>
          <w:sz w:val="18"/>
          <w:szCs w:val="20"/>
          <w:lang w:val="es-ES" w:eastAsia="es-ES"/>
        </w:rPr>
      </w:pPr>
    </w:p>
    <w:p w:rsidR="00B32B83" w:rsidRPr="00B32B83" w:rsidRDefault="00B32B83" w:rsidP="00B32B83">
      <w:pPr>
        <w:spacing w:after="58" w:line="240" w:lineRule="auto"/>
        <w:ind w:firstLine="288"/>
        <w:jc w:val="both"/>
        <w:rPr>
          <w:rFonts w:ascii="Arial" w:eastAsia="Times New Roman" w:hAnsi="Arial" w:cs="Arial"/>
          <w:sz w:val="18"/>
          <w:szCs w:val="20"/>
          <w:lang w:val="es-ES" w:eastAsia="es-ES"/>
        </w:rPr>
      </w:pPr>
      <w:bookmarkStart w:id="0" w:name="_GoBack"/>
      <w:bookmarkEnd w:id="0"/>
      <w:r w:rsidRPr="00B32B83">
        <w:rPr>
          <w:rFonts w:ascii="Arial" w:eastAsia="Times New Roman" w:hAnsi="Arial" w:cs="Arial"/>
          <w:b/>
          <w:sz w:val="18"/>
          <w:szCs w:val="20"/>
          <w:lang w:val="es-ES" w:eastAsia="es-ES"/>
        </w:rPr>
        <w:t>Artículo 25.-</w:t>
      </w:r>
      <w:r w:rsidRPr="00B32B83">
        <w:rPr>
          <w:rFonts w:ascii="Arial" w:eastAsia="Times New Roman" w:hAnsi="Arial" w:cs="Arial"/>
          <w:sz w:val="18"/>
          <w:szCs w:val="20"/>
          <w:lang w:val="es-ES" w:eastAsia="es-ES"/>
        </w:rPr>
        <w:t xml:space="preserve"> Para determinar el establecimiento del Comité, el titular de la dependencia o el órgano de gobierno de la entidad, tomará en cuenta si existe un programa anual de obras y servicios para el ejercicio correspondiente, la cantidad de obras y servicios previstos en dicho programa y el monto del presupuesto autorizado.</w:t>
      </w:r>
    </w:p>
    <w:p w:rsidR="00B32B83" w:rsidRPr="00B32B83" w:rsidRDefault="00B32B83" w:rsidP="00B32B83">
      <w:pPr>
        <w:spacing w:after="48" w:line="216" w:lineRule="exact"/>
        <w:ind w:firstLine="288"/>
        <w:jc w:val="both"/>
        <w:rPr>
          <w:rFonts w:ascii="Arial" w:eastAsia="Times New Roman" w:hAnsi="Arial" w:cs="Arial"/>
          <w:sz w:val="18"/>
          <w:szCs w:val="20"/>
          <w:lang w:val="es-ES_tradnl" w:eastAsia="es-ES"/>
        </w:rPr>
      </w:pPr>
      <w:r w:rsidRPr="00B32B83">
        <w:rPr>
          <w:rFonts w:ascii="Arial" w:eastAsia="Times New Roman" w:hAnsi="Arial" w:cs="Arial"/>
          <w:sz w:val="18"/>
          <w:szCs w:val="20"/>
          <w:lang w:val="es-ES_tradnl" w:eastAsia="es-ES"/>
        </w:rPr>
        <w:t xml:space="preserve">Cuando la dependencia o entidad determine no constituir el Comité de conformidad con el párrafo anterior, deberá informarlo por escrito al órgano interno de control correspondiente acompañando la justificación de dicha determinación. En estos casos, la </w:t>
      </w:r>
      <w:proofErr w:type="spellStart"/>
      <w:r w:rsidRPr="00B32B83">
        <w:rPr>
          <w:rFonts w:ascii="Arial" w:eastAsia="Times New Roman" w:hAnsi="Arial" w:cs="Arial"/>
          <w:sz w:val="18"/>
          <w:szCs w:val="20"/>
          <w:lang w:val="es-ES_tradnl" w:eastAsia="es-ES"/>
        </w:rPr>
        <w:t>dictaminación</w:t>
      </w:r>
      <w:proofErr w:type="spellEnd"/>
      <w:r w:rsidRPr="00B32B83">
        <w:rPr>
          <w:rFonts w:ascii="Arial" w:eastAsia="Times New Roman" w:hAnsi="Arial" w:cs="Arial"/>
          <w:sz w:val="18"/>
          <w:szCs w:val="20"/>
          <w:lang w:val="es-ES_tradnl" w:eastAsia="es-ES"/>
        </w:rPr>
        <w:t xml:space="preserve"> sobre la procedencia de las excepciones a la licitación pública en los casos a que se refieren las fracciones I, III, y VIII a XIV del artículo 42 de la Ley corresponderá al titular de la dependencia o entidad, quien podrá delegar esta facultad en el Oficial Mayor o equivalente.</w:t>
      </w:r>
    </w:p>
    <w:p w:rsidR="006F7B91" w:rsidRPr="00B32B83" w:rsidRDefault="006F7B91">
      <w:pPr>
        <w:rPr>
          <w:lang w:val="es-ES_tradnl"/>
        </w:rPr>
      </w:pPr>
    </w:p>
    <w:sectPr w:rsidR="006F7B91" w:rsidRPr="00B32B8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111CA8"/>
    <w:rsid w:val="002815CE"/>
    <w:rsid w:val="00413DB3"/>
    <w:rsid w:val="00457BE9"/>
    <w:rsid w:val="00473543"/>
    <w:rsid w:val="00495979"/>
    <w:rsid w:val="006950E2"/>
    <w:rsid w:val="006F7B91"/>
    <w:rsid w:val="00800CAE"/>
    <w:rsid w:val="00923585"/>
    <w:rsid w:val="00B32B83"/>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812</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2013-04-09T20:13:00Z</dcterms:created>
  <dcterms:modified xsi:type="dcterms:W3CDTF">2013-04-09T20:13:00Z</dcterms:modified>
</cp:coreProperties>
</file>